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0700" w:type="dxa"/>
        <w:gridCol w:w="252950" w:type="dxa"/>
        <w:gridCol w:w="125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070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529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25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0700" w:type="pct"/>
            <w:vAlign w:val="center"/>
          </w:tcPr>
          <w:p>
            <w:pPr>
              <w:jc w:val="center"/>
            </w:pPr>
            <w:r>
              <w:rPr/>
              <w:t xml:space="preserve">19/04/2024</w:t>
            </w:r>
          </w:p>
        </w:tc>
        <w:tc>
          <w:tcPr>
            <w:tcW w:w="252950" w:type="pct"/>
            <w:vAlign w:val="center"/>
          </w:tcPr>
          <w:p>
            <w:pPr>
              <w:jc w:val="center"/>
            </w:pPr>
            <w:r>
              <w:rPr/>
              <w:t xml:space="preserve">Documento de Alcance del PEPCH</w:t>
            </w:r>
          </w:p>
        </w:tc>
        <w:tc>
          <w:tcPr>
            <w:tcW w:w="125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2026-08-11T11:31:46+00:00</dcterms:created>
  <dcterms:modified xsi:type="dcterms:W3CDTF">2026-08-11T11:31:46+00:00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