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1143. Preguntas frecuentes y aclaraciones relativas al contenido de los contratos, el Ayuntamiento de Teror pone en conocimiento de la ciudadanía del municipio y del público en general que las preguntas y dudas que se plantean a cada licitación son objeto de contestación a través de la Plataforma de Contratación del Sector Público conforme lo señalado en el art. 138 de la Ley de Contratos del Sector Público. </w:t>
      </w:r>
      <w:r>
        <w:rPr>
          <w:b w:val="1"/>
          <w:bCs w:val="1"/>
        </w:rPr>
        <w:t xml:space="preserve">Y que no existen preguntas frecuentes sobre el contenido de los contratos en el ejercicio de 2025. </w:t>
      </w:r>
    </w:p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Preguntas expedientes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Preguntas expedientes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Preguntas expedientes 2023</w:t>
            </w:r>
          </w:p>
        </w:tc>
        <w:tc>
          <w:tcPr>
            <w:tcW w:w="7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2026-09-26T03:16:29+00:00</dcterms:created>
  <dcterms:modified xsi:type="dcterms:W3CDTF">2026-09-26T03:16:29+00:00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