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250" w:type="dxa"/>
        <w:gridCol w:w="31550" w:type="dxa"/>
      </w:tblGrid>
      <w:tblPr>
        <w:tblW w:w="423200" w:type="pct"/>
        <w:tblLayout w:type="autofit"/>
        <w:bidiVisual w:val="0"/>
      </w:tblPr>
      <w:tr>
        <w:trPr>
          <w:tblHeader w:val="1"/>
        </w:trPr>
        <w:tc>
          <w:tcPr>
            <w:tcW w:w="662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1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66250" w:type="pct"/>
            <w:vAlign w:val="center"/>
          </w:tcPr>
          <w:p>
            <w:pPr>
              <w:jc w:val="center"/>
            </w:pPr>
            <w:r>
              <w:rPr/>
              <w:t xml:space="preserve">Obras adjudicadas y ejecutadas 2025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66250" w:type="pct"/>
            <w:vAlign w:val="center"/>
          </w:tcPr>
          <w:p>
            <w:pPr>
              <w:jc w:val="center"/>
            </w:pPr>
            <w:r>
              <w:rPr/>
              <w:t xml:space="preserve">Obras licitadas y ejecutadas 2023/24</w:t>
            </w:r>
          </w:p>
        </w:tc>
        <w:tc>
          <w:tcPr>
            <w:tcW w:w="31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2026-09-26T03:14:42+00:00</dcterms:created>
  <dcterms:modified xsi:type="dcterms:W3CDTF">2026-09-26T03:14:42+00:00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