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ind w:left="0" w:right="0" w:firstLine="708"/>
      </w:pPr>
      <w:r>
        <w:rPr/>
        <w:t xml:space="preserve">Al objeto de dar cumplimiento a los Indicadores de la Ley Canaria de Transparencia (Ley 12/2014, de 26 de diciembre) en su apartado 5. Retribuciones/5.4 Personal funcionario, laboral y estatutario el Ilustre. Ayuntamiento de Teror, pone en conocimiento de la ciudadanía de Teror y del público en general, que en el convenio laboral del personal laboral y en el acuerdo regulador del personal funcionario se recoge que los seguros colectivos son los siguientes:</w:t>
      </w:r>
    </w:p>
    <w:p>
      <w:pPr>
        <w:jc w:val="both"/>
        <w:ind w:left="0" w:right="0" w:firstLine="708"/>
      </w:pPr>
      <w:r>
        <w:rPr/>
        <w:t xml:space="preserve">POLIZAS DE SEGURO (2025-2026) La corporación asegurará mediante póliza de seguro los siguientes riesgos en que puedan incurrir los empleados municipales y con las coberturas mínimas indicadas:</w:t>
      </w:r>
    </w:p>
    <w:p>
      <w:pPr>
        <w:jc w:val="both"/>
        <w:ind w:left="0" w:right="0" w:firstLine="708"/>
      </w:pPr>
      <w:r>
        <w:rPr/>
        <w:t xml:space="preserve"> - FALLECIMIENTO POR CUALQUIER CAUSA......................... VARIABLE POR ASEGURADO - INVALIDEZ PROFESIONAL TOTAL Y PERMANENTE............................. 17.698,60 EUROS - INVALIDEZ ABSOLUTA Y PERMANENTE................................................. 5.448,39 EUROS - INVALIDEZ PMTE. SEGUN BAREMO POR ACCTE................................. 19.004,10 EUROS - GRAN INVALIDEZ ......................................................................................... 16.394,39 EUROS - PRESTACION ADICIONAL INVALIDEZ CAPITAL ....................................10.500,00 EUROS - FALLECIMIENTO SIMULTANEO DEL ASEG. Y CONYUGE...................... 3.000,00 EUROS</w:t>
      </w:r>
    </w:p>
    <w:p>
      <w:pPr/>
      <w:r>
        <w:rPr/>
        <w:t xml:space="preserve"> </w:t>
      </w:r>
    </w:p>
    <w:tbl>
      <w:tblGrid>
        <w:gridCol w:w="36750" w:type="dxa"/>
        <w:gridCol w:w="13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3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2025-0802 [Decreto 3ª Convocatoria Fondo de Acción Social 2025]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2025-0775 [Resolución 2ª convocatoria Fondo Acción Social 2025]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2025-0774 [Resolución 1ª convocatoria Fondo Acción Social 2025]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2023-0894 [Decreto 1ª convocatoria Fondo Acción Social 2023] 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2023-1037 [Decreto 2º convocatoria Acción Social 2023]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2023-1044 [DECRETO RECTIFICACIÓN ERRORES MATERIALES 2ª Convocatoria Ayudas Empleado Público] 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2023-1231 [Decreto 3ª Convocatoria Fondo Acción Social 2023]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2024-1080 [Resolución 1ª convocatoria Fondo Acción Social 2024]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2024-1081 [Resolución 2ª convocatoria Fondo Acción Social 2024]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2024-1212 [Decreto 3ª Convocatoria Fondo de Acción Social 2024]</w:t>
            </w:r>
          </w:p>
        </w:tc>
        <w:tc>
          <w:tcPr>
            <w:tcW w:w="13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2026-05-12T12:25:40+00:00</dcterms:created>
  <dcterms:modified xsi:type="dcterms:W3CDTF">2026-05-12T12:25:40+00:00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