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ind w:left="0" w:right="0" w:firstLine="708"/>
      </w:pPr>
      <w:r>
        <w:rPr/>
        <w:t xml:space="preserve">Al objeto de dar cumplimiento a los Indicadores de la Ley Canaria de Transparencia (Ley 12/2014, de 26 de diciembre) en su apartado 12. Contratos/12.9 Contratos formalizados, el Excmo. Ayuntamiento de Teror, pone en conocimiento de la ciudadanía de Teror y del público en general, que no existen penalidades impuestas por incumplimiento de los/las contratistas, correspondiente al ejercicio 2022</w:t>
      </w:r>
    </w:p>
    <w:p>
      <w:pPr>
        <w:jc w:val="both"/>
        <w:ind w:left="0" w:right="0" w:firstLine="708"/>
      </w:pPr>
      <w:r>
        <w:rPr/>
        <w:t xml:space="preserve"> 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2026-08-11T11:32:04+00:00</dcterms:created>
  <dcterms:modified xsi:type="dcterms:W3CDTF">2026-08-11T11:32:04+00:00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