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Económico-financiera / 1111 Convenios de aplazamiento o fraccionamiento de pagos y sus condiciones de las deudas con la Agencia Tributaria, la Tesorería General de la Seguridad Social y otras entidades públicas o privadas, el Ayuntamiento de Teror, pone en conocimiento de la ciudadanía del municipio y del público en general que durante los ejercicios 2023 y 2024 no existió actividad en este apartado, pudiendo utilizar la ciudadanía los medios legalmente establecidos para ejercer su derecho de acceso a la información pública. </w:t>
      </w:r>
    </w:p>
    <w:tbl>
      <w:tblGrid>
        <w:gridCol w:w="130300" w:type="dxa"/>
        <w:gridCol w:w="4106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130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10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30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0650" w:type="pct"/>
          </w:tcPr>
          <w:p>
            <w:pPr/>
          </w:p>
        </w:tc>
      </w:tr>
      <w:tr>
        <w:trPr/>
        <w:tc>
          <w:tcPr>
            <w:tcW w:w="13030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10650" w:type="pct"/>
          </w:tcPr>
          <w:p>
            <w:pPr/>
          </w:p>
        </w:tc>
      </w:tr>
      <w:tr>
        <w:trPr/>
        <w:tc>
          <w:tcPr>
            <w:tcW w:w="130300" w:type="pct"/>
            <w:vAlign w:val="center"/>
          </w:tcPr>
          <w:p>
            <w:pPr>
              <w:jc w:val="center"/>
            </w:pPr>
            <w:r>
              <w:rPr/>
              <w:t xml:space="preserve">2023 - 1er Trimestre</w:t>
            </w:r>
          </w:p>
        </w:tc>
        <w:tc>
          <w:tcPr>
            <w:tcW w:w="410650" w:type="pct"/>
          </w:tcPr>
          <w:p>
            <w:pPr/>
          </w:p>
        </w:tc>
      </w:tr>
      <w:tr>
        <w:trPr/>
        <w:tc>
          <w:tcPr>
            <w:tcW w:w="130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0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2026-05-12T12:23:47+00:00</dcterms:created>
  <dcterms:modified xsi:type="dcterms:W3CDTF">2026-05-12T12:23:47+00:00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