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</w:p>
    <w:tbl>
      <w:tblGrid>
        <w:gridCol w:w="265200" w:type="dxa"/>
        <w:gridCol w:w="238200" w:type="dxa"/>
      </w:tblGrid>
      <w:tblPr>
        <w:tblW w:w="479650" w:type="pct"/>
        <w:tblLayout w:type="autofit"/>
        <w:bidiVisual w:val="0"/>
      </w:tblPr>
      <w:tr>
        <w:trPr>
          <w:tblHeader w:val="1"/>
        </w:trPr>
        <w:tc>
          <w:tcPr>
            <w:tcW w:w="26520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  <w:tc>
          <w:tcPr>
            <w:tcW w:w="2382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265200" w:type="pct"/>
            <w:vAlign w:val="center"/>
          </w:tcPr>
          <w:p>
            <w:pPr>
              <w:jc w:val="center"/>
            </w:pPr>
            <w:r>
              <w:rPr/>
              <w:t xml:space="preserve">Catálogo de procedimientos, incluyendo los de carácter tributario, con indicación de los que estén disponibles en formato electrónico</w:t>
            </w:r>
          </w:p>
        </w:tc>
        <w:tc>
          <w:tcPr>
            <w:tcW w:w="238200" w:type="pct"/>
          </w:tcPr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2026-05-12T12:21:23+00:00</dcterms:created>
  <dcterms:modified xsi:type="dcterms:W3CDTF">2026-05-12T12:21:23+00:00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