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start"/>
        <w:ind w:left="0" w:right="0" w:firstLine="708"/>
      </w:pPr>
      <w:r>
        <w:rPr/>
        <w:t xml:space="preserve">Al objeto de dar cumplimiento a los Indicadores de la Ley Canaria de Transparencia y de acceso a la información pública (Ley 12/2014, de 26 de diciembre) en su apartado 6. Normativa sobre “1074 - Sentencias que afecten a la vigencia e interpretación de las normas dictadas por la entidad”, el Ayuntamiento de Teror, confirma que durante los ejercicios 2021, 2022, 2023, 2024 y 2025 no existen sentencias que afecten a la interpretación de su propia normativa pudiendo utilizar la ciudadanía los medios legalmente establecidos para ejercer su derecho de acceso a la información pública.</w:t>
      </w:r>
    </w:p>
    <w:tbl>
      <w:tblGrid>
        <w:gridCol w:w="4788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2021-2024</w:t>
            </w:r>
          </w:p>
        </w:tc>
        <w:tc>
          <w:tcPr>
            <w:tcW w:w="490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2026-08-11T11:32:05+00:00</dcterms:created>
  <dcterms:modified xsi:type="dcterms:W3CDTF">2026-08-11T11:32:05+00:00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