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  <w:ind w:left="0" w:right="0" w:firstLine="708"/>
      </w:pPr>
      <w:r>
        <w:rPr/>
        <w:t xml:space="preserve">Al objeto de dar cumplimiento a los Indicadores de la Ley Canaria de Transparencia (Ley 12/2014, de 26 de diciembre) en su apartado 6. Normativa/6.1 Planificación Normativa/1059 Plan Anual Normativo, el Excmo. Ayuntamiento de Teror, pone en conocimiento de la ciudadanía de Teror y del público en general, que el Ayuntamiento de Teror como Administración Local no tiene la obligación de contar con un Plan Normativo.</w:t>
      </w:r>
    </w:p>
    <w:p>
      <w:pPr>
        <w:jc w:val="both"/>
        <w:ind w:left="0" w:right="0" w:firstLine="708"/>
      </w:pPr>
      <w:r>
        <w:rPr/>
        <w:t xml:space="preserve"> </w:t>
      </w:r>
    </w:p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2026-06-26T22:11:27+00:00</dcterms:created>
  <dcterms:modified xsi:type="dcterms:W3CDTF">2026-06-26T22:11:27+00:00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