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Retribuciones 2023-2027</w:t>
      </w:r>
    </w:p>
    <w:tbl>
      <w:tblGrid>
        <w:gridCol w:w="276100" w:type="dxa"/>
        <w:gridCol w:w="273600" w:type="dxa"/>
        <w:gridCol w:w="162900" w:type="dxa"/>
        <w:gridCol w:w="2595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Concejalias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Importe Burto Anual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 Alcalde-Presidente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Seguridad Ciudadana, Relaciones Institucionales, Presidencia y Cultura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49.000,00 €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 Primer Teniente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Urbanismo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42.000,00 €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Segunda Teniente de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Recursos Humanos y Organización, Secretaría, Servicios Jurídicos, Estadística y Salud Pública.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38.999,94 €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Tercer Teniente de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Fiestas de Barrios, Participación Ciudadana, Patrimonio Municipal y Mercadillo.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38.999,94 €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Cuarta Teniente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Vías y Obras, Movilidad (Tráfico y Transporte), Turismo, Patrimonio Histórico y Bienestar Animal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38.999,94 €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Quinta Teniente de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Hacienda y Contratación, Fomento y Comercio, Desarrollo Local y Empleo.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(95%)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37.050,44 €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Festejos Municipales, Comunicación y Universidad Popular.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Aguas, Alcantarillado y Recursos Hídricos, Nuevas Tecnologías, Educación, Deportes y Juventud e Infancia.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Parques y Jardines, Alumbrado Público y Cementerio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Desarrollo Rural, Medio Ambiente, Limpieza Viaria y Recogida de Residuos, Servicios Sociales, Solidaridad, Igualdad y Diversidad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Mayores, Consumo, Juzgado de Paz, Vivienda y Artesanía.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472200" w:type="pct"/>
            <w:vAlign w:val="center"/>
            <w:gridSpan w:val="4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Asignaciones económicas miembros corporativos</w:t>
      </w:r>
    </w:p>
    <w:tbl>
      <w:tblGrid>
        <w:gridCol w:w="375900" w:type="dxa"/>
        <w:gridCol w:w="138600" w:type="dxa"/>
        <w:gridCol w:w="424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Certificado Pleno 10-07-2025 Asignaciones económicas miembros corporativos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Certificado Pleno 22-05-2025 Asignaciones económicas miembros corporativos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Certificado Pleno 26-09-2024 Asignaciones Económicas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Certificado Pleno 22-06-2023 Asignaciones Económicas Concejales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Indemnizaciones percibidas con ocasión del abandono del cargo </w:t>
      </w:r>
    </w:p>
    <w:p>
      <w:pPr>
        <w:jc w:val="both"/>
      </w:pPr>
      <w:r>
        <w:rPr/>
        <w:t xml:space="preserve">Al objeto de dar cumplimiento a los Indicadores de la Ley Canaria de Transparencia (Ley 12/2014, de 26 de diciembre) en su apartado 5.1 Miembros electos, titulares de los órganos de gobierno, altos cargos o asimilados y titulares de los órganos superiores y directivos de la entidad/1050 Indemnizaciones percibidas con ocasión del abandono del cargo el Ilustre. Ayuntamiento de Teror, pone en conocimiento de la ciudadanía de Teror y del público en general, que en el ejercicio 2023, el Ayuntamiento no cuenta con Indemnizaciones percibidas con ocasión del abandono del cargo.</w:t>
      </w:r>
    </w:p>
    <w:tbl>
      <w:tblGrid>
        <w:gridCol w:w="66900" w:type="dxa"/>
        <w:gridCol w:w="436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9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366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66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36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36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69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366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2026-06-27T00:01:28+00:00</dcterms:created>
  <dcterms:modified xsi:type="dcterms:W3CDTF">2026-06-27T00:01:28+00:00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