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</w:t>
      </w:r>
      <w:r>
        <w:rPr/>
        <w:t xml:space="preserve"> (Ley 12/2014, de 26 de diciembre) en su apartado 2.1 </w:t>
      </w:r>
      <w:r>
        <w:rPr>
          <w:b w:val="1"/>
          <w:bCs w:val="1"/>
        </w:rPr>
        <w:t xml:space="preserve">Estructura orgánica/1021 Órganos de gobierno, de dirección o de administración de la entidad</w:t>
      </w:r>
      <w:r>
        <w:rPr/>
        <w:t xml:space="preserve">, indicando sus competencias y funciones, pone en conocimiento de la ciudadanía de </w:t>
      </w:r>
      <w:r>
        <w:rPr>
          <w:b w:val="1"/>
          <w:bCs w:val="1"/>
        </w:rPr>
        <w:t xml:space="preserve">Teror</w:t>
      </w:r>
      <w:r>
        <w:rPr/>
        <w:t xml:space="preserve"> y del público en general, que actualmente el </w:t>
      </w:r>
      <w:r>
        <w:rPr>
          <w:b w:val="1"/>
          <w:bCs w:val="1"/>
        </w:rPr>
        <w:t xml:space="preserve">Ayuntamiento no dispone de Órganos de Participación Ciudadana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2026-08-11T11:31:30+00:00</dcterms:created>
  <dcterms:modified xsi:type="dcterms:W3CDTF">2026-08-11T11:31:30+00:00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